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96" w:rsidRPr="00D35692" w:rsidRDefault="00721496">
      <w:pPr>
        <w:rPr>
          <w:sz w:val="32"/>
          <w:szCs w:val="32"/>
        </w:rPr>
      </w:pPr>
      <w:bookmarkStart w:id="0" w:name="_GoBack"/>
      <w:bookmarkEnd w:id="0"/>
      <w:r w:rsidRPr="00D35692">
        <w:rPr>
          <w:sz w:val="32"/>
          <w:szCs w:val="32"/>
        </w:rPr>
        <w:t>OAJ</w:t>
      </w:r>
      <w:r w:rsidR="00E20199" w:rsidRPr="00D35692">
        <w:rPr>
          <w:sz w:val="32"/>
          <w:szCs w:val="32"/>
        </w:rPr>
        <w:t xml:space="preserve"> Kuopion kunta</w:t>
      </w:r>
      <w:r w:rsidRPr="00D35692">
        <w:rPr>
          <w:sz w:val="32"/>
          <w:szCs w:val="32"/>
        </w:rPr>
        <w:t>vaalitavoitteet</w:t>
      </w:r>
      <w:r w:rsidR="00E20199" w:rsidRPr="00D35692">
        <w:rPr>
          <w:sz w:val="32"/>
          <w:szCs w:val="32"/>
        </w:rPr>
        <w:t xml:space="preserve"> 2021 </w:t>
      </w:r>
    </w:p>
    <w:p w:rsidR="00721496" w:rsidRDefault="00474E42" w:rsidP="00E20199">
      <w:pPr>
        <w:pStyle w:val="Luettelokappale"/>
        <w:numPr>
          <w:ilvl w:val="0"/>
          <w:numId w:val="1"/>
        </w:numPr>
        <w:rPr>
          <w:sz w:val="28"/>
          <w:szCs w:val="28"/>
        </w:rPr>
      </w:pPr>
      <w:hyperlink r:id="rId5" w:anchor="osaava-ja-hyvinvoiva-opetushenkilosto-turvaa-palvelujen-laadun" w:history="1">
        <w:r w:rsidR="00721496" w:rsidRPr="00D35692">
          <w:rPr>
            <w:rStyle w:val="Hyperlinkki"/>
            <w:sz w:val="28"/>
            <w:szCs w:val="28"/>
            <w:u w:val="none"/>
          </w:rPr>
          <w:t>Osaava ja hyvinvoiva opetushenkilöstö turvaa palvelujen laadun</w:t>
        </w:r>
      </w:hyperlink>
    </w:p>
    <w:p w:rsidR="00D35692" w:rsidRPr="00D35692" w:rsidRDefault="00D35692" w:rsidP="00D35692">
      <w:pPr>
        <w:pStyle w:val="Luettelokappale"/>
        <w:rPr>
          <w:sz w:val="28"/>
          <w:szCs w:val="28"/>
        </w:rPr>
      </w:pPr>
    </w:p>
    <w:p w:rsidR="00721496" w:rsidRPr="00D35692" w:rsidRDefault="00721496" w:rsidP="00D35692">
      <w:pPr>
        <w:pStyle w:val="Luettelokappale"/>
        <w:numPr>
          <w:ilvl w:val="0"/>
          <w:numId w:val="2"/>
        </w:numPr>
        <w:rPr>
          <w:sz w:val="24"/>
          <w:szCs w:val="24"/>
        </w:rPr>
      </w:pPr>
      <w:r w:rsidRPr="00D35692">
        <w:rPr>
          <w:sz w:val="24"/>
          <w:szCs w:val="24"/>
        </w:rPr>
        <w:t>Suomessa on maailman parhaat opettajat</w:t>
      </w:r>
      <w:r w:rsidR="00E20199" w:rsidRPr="00D35692">
        <w:rPr>
          <w:sz w:val="24"/>
          <w:szCs w:val="24"/>
        </w:rPr>
        <w:t xml:space="preserve">. Myös </w:t>
      </w:r>
      <w:r w:rsidRPr="00D35692">
        <w:rPr>
          <w:sz w:val="24"/>
          <w:szCs w:val="24"/>
        </w:rPr>
        <w:t xml:space="preserve">Kuopiossa </w:t>
      </w:r>
      <w:r w:rsidR="00E20199" w:rsidRPr="00D35692">
        <w:rPr>
          <w:sz w:val="24"/>
          <w:szCs w:val="24"/>
        </w:rPr>
        <w:t>tarjotaan</w:t>
      </w:r>
      <w:r w:rsidRPr="00D35692">
        <w:rPr>
          <w:sz w:val="24"/>
          <w:szCs w:val="24"/>
        </w:rPr>
        <w:t xml:space="preserve"> laadukasta opetusta, jos kunta</w:t>
      </w:r>
      <w:r w:rsidRPr="00D35692">
        <w:rPr>
          <w:sz w:val="24"/>
          <w:szCs w:val="24"/>
        </w:rPr>
        <w:softHyphen/>
        <w:t>päättäjät niin haluavat.</w:t>
      </w:r>
    </w:p>
    <w:p w:rsidR="00721496" w:rsidRPr="00D35692" w:rsidRDefault="00721496" w:rsidP="00D35692">
      <w:pPr>
        <w:pStyle w:val="Luettelokappale"/>
        <w:numPr>
          <w:ilvl w:val="0"/>
          <w:numId w:val="2"/>
        </w:numPr>
        <w:rPr>
          <w:sz w:val="24"/>
          <w:szCs w:val="24"/>
        </w:rPr>
      </w:pPr>
      <w:r w:rsidRPr="00D35692">
        <w:rPr>
          <w:sz w:val="24"/>
          <w:szCs w:val="24"/>
        </w:rPr>
        <w:t>Laadukasta opetusta on mahdollista antaa vain, jos ryhmät ovat riittävän pienet.</w:t>
      </w:r>
    </w:p>
    <w:p w:rsidR="00721496" w:rsidRPr="00D35692" w:rsidRDefault="00721496" w:rsidP="00D35692">
      <w:pPr>
        <w:pStyle w:val="Luettelokappale"/>
        <w:numPr>
          <w:ilvl w:val="0"/>
          <w:numId w:val="2"/>
        </w:numPr>
        <w:rPr>
          <w:sz w:val="24"/>
          <w:szCs w:val="24"/>
        </w:rPr>
      </w:pPr>
      <w:r w:rsidRPr="00D35692">
        <w:rPr>
          <w:sz w:val="24"/>
          <w:szCs w:val="24"/>
        </w:rPr>
        <w:t xml:space="preserve">Lapsilla ja nuorilla on oikeus oppimisen edellyttämään ohjaukseen ja tukeen. </w:t>
      </w:r>
    </w:p>
    <w:p w:rsidR="00721496" w:rsidRPr="00D35692" w:rsidRDefault="00721496" w:rsidP="00D35692">
      <w:pPr>
        <w:pStyle w:val="Luettelokappale"/>
        <w:numPr>
          <w:ilvl w:val="0"/>
          <w:numId w:val="2"/>
        </w:numPr>
        <w:rPr>
          <w:sz w:val="24"/>
          <w:szCs w:val="24"/>
        </w:rPr>
      </w:pPr>
      <w:r w:rsidRPr="00D35692">
        <w:rPr>
          <w:sz w:val="24"/>
          <w:szCs w:val="24"/>
        </w:rPr>
        <w:t>Tuen riittävyys voidaan varmistaa vain sillä, että kunnassa on oikea määrä opinto-ohjaajia, erityisopettajia, erityisluokanopettajia ja varhaiskasvatuksen eritysopettajia.  </w:t>
      </w:r>
    </w:p>
    <w:p w:rsidR="00E20199" w:rsidRPr="00D35692" w:rsidRDefault="00E20199" w:rsidP="00D35692">
      <w:pPr>
        <w:pStyle w:val="NormaaliWWW"/>
        <w:numPr>
          <w:ilvl w:val="0"/>
          <w:numId w:val="2"/>
        </w:numPr>
        <w:rPr>
          <w:rFonts w:asciiTheme="minorHAnsi" w:hAnsiTheme="minorHAnsi" w:cstheme="minorHAnsi"/>
        </w:rPr>
      </w:pPr>
      <w:r w:rsidRPr="00D35692">
        <w:rPr>
          <w:rFonts w:asciiTheme="minorHAnsi" w:hAnsiTheme="minorHAnsi" w:cstheme="minorHAnsi"/>
        </w:rPr>
        <w:t>Oikein toteutettu ja oikeaan aikaan annettu erityisopetus maksaa itsensä takaisin ja ennen kaikkea turvaa kaikille mahdollisuuden oppia ja pärjätä elämässään. Pienryhmiäkin tarvitaan.</w:t>
      </w:r>
    </w:p>
    <w:p w:rsidR="00B0273A" w:rsidRPr="00D35692" w:rsidRDefault="00B0273A" w:rsidP="00D35692">
      <w:pPr>
        <w:pStyle w:val="Luettelokappale"/>
        <w:numPr>
          <w:ilvl w:val="0"/>
          <w:numId w:val="2"/>
        </w:numPr>
        <w:rPr>
          <w:sz w:val="24"/>
          <w:szCs w:val="24"/>
        </w:rPr>
      </w:pPr>
      <w:r w:rsidRPr="00D35692">
        <w:rPr>
          <w:sz w:val="24"/>
          <w:szCs w:val="24"/>
        </w:rPr>
        <w:t>Opetushenkilöstön poissaoloihin on palkattava sijainen. Sijainen tarvitaan myös tilapäisiin poissaoloihin, jotka johtuvat esimerkiksi sairaudesta tai koulutukseen osallistumisesta. </w:t>
      </w:r>
    </w:p>
    <w:p w:rsidR="00B0273A" w:rsidRPr="00D35692" w:rsidRDefault="00B0273A" w:rsidP="00D35692">
      <w:pPr>
        <w:pStyle w:val="Luettelokappale"/>
        <w:numPr>
          <w:ilvl w:val="0"/>
          <w:numId w:val="2"/>
        </w:numPr>
        <w:rPr>
          <w:sz w:val="24"/>
          <w:szCs w:val="24"/>
        </w:rPr>
      </w:pPr>
      <w:r w:rsidRPr="00D35692">
        <w:rPr>
          <w:sz w:val="24"/>
          <w:szCs w:val="24"/>
        </w:rPr>
        <w:t>Henkilöstön ja esimiesten osaamisesta ja täydennyskoulutu</w:t>
      </w:r>
      <w:r w:rsidR="00E20199" w:rsidRPr="00D35692">
        <w:rPr>
          <w:sz w:val="24"/>
          <w:szCs w:val="24"/>
        </w:rPr>
        <w:t>k</w:t>
      </w:r>
      <w:r w:rsidRPr="00D35692">
        <w:rPr>
          <w:sz w:val="24"/>
          <w:szCs w:val="24"/>
        </w:rPr>
        <w:t>sesta tulee huolehtia.</w:t>
      </w:r>
    </w:p>
    <w:p w:rsidR="00B0273A" w:rsidRPr="00D35692" w:rsidRDefault="00B0273A" w:rsidP="00D35692">
      <w:pPr>
        <w:pStyle w:val="Luettelokappale"/>
        <w:numPr>
          <w:ilvl w:val="0"/>
          <w:numId w:val="2"/>
        </w:numPr>
        <w:rPr>
          <w:sz w:val="24"/>
          <w:szCs w:val="24"/>
        </w:rPr>
      </w:pPr>
      <w:r w:rsidRPr="00D35692">
        <w:rPr>
          <w:sz w:val="24"/>
          <w:szCs w:val="24"/>
        </w:rPr>
        <w:t xml:space="preserve">Opettajien työhyvinvointiin </w:t>
      </w:r>
      <w:r w:rsidR="00E20199" w:rsidRPr="00D35692">
        <w:rPr>
          <w:sz w:val="24"/>
          <w:szCs w:val="24"/>
        </w:rPr>
        <w:t xml:space="preserve">sijoittaminen säästää kunnan </w:t>
      </w:r>
      <w:r w:rsidRPr="00D35692">
        <w:rPr>
          <w:sz w:val="24"/>
          <w:szCs w:val="24"/>
        </w:rPr>
        <w:t>resursseja muun muassa vähentämällä sairauspoissaoloja.  </w:t>
      </w:r>
    </w:p>
    <w:p w:rsidR="00B0273A" w:rsidRPr="00D35692" w:rsidRDefault="00B0273A" w:rsidP="00D35692">
      <w:pPr>
        <w:pStyle w:val="Luettelokappale"/>
        <w:numPr>
          <w:ilvl w:val="0"/>
          <w:numId w:val="2"/>
        </w:numPr>
        <w:rPr>
          <w:sz w:val="24"/>
          <w:szCs w:val="24"/>
        </w:rPr>
      </w:pPr>
      <w:r w:rsidRPr="00D35692">
        <w:rPr>
          <w:sz w:val="24"/>
          <w:szCs w:val="24"/>
        </w:rPr>
        <w:t>Työnantajan tehtävänä on huolehtia, että työtilat ovat terveet ja turvalliset.</w:t>
      </w:r>
    </w:p>
    <w:p w:rsidR="00B0273A" w:rsidRPr="00721496" w:rsidRDefault="00B0273A"/>
    <w:p w:rsidR="00721496" w:rsidRPr="00D35692" w:rsidRDefault="00474E42" w:rsidP="003A10EF">
      <w:pPr>
        <w:pStyle w:val="Luettelokappale"/>
        <w:numPr>
          <w:ilvl w:val="0"/>
          <w:numId w:val="1"/>
        </w:numPr>
        <w:rPr>
          <w:sz w:val="28"/>
          <w:szCs w:val="28"/>
        </w:rPr>
      </w:pPr>
      <w:hyperlink r:id="rId6" w:anchor="koulutukseen-sijoittaminen-on-taloudenhoitoa-kuntalaisten-parhaaksi" w:history="1">
        <w:r w:rsidR="00721496" w:rsidRPr="00D35692">
          <w:rPr>
            <w:rStyle w:val="Hyperlinkki"/>
            <w:sz w:val="28"/>
            <w:szCs w:val="28"/>
            <w:u w:val="none"/>
          </w:rPr>
          <w:t>Koulutukseen sijoittaminen on taloudenhoitoa kuntalaisten parhaaksi</w:t>
        </w:r>
      </w:hyperlink>
    </w:p>
    <w:p w:rsidR="00B0273A" w:rsidRPr="00D35692" w:rsidRDefault="00B0273A" w:rsidP="00D35692">
      <w:pPr>
        <w:pStyle w:val="NormaaliWWW"/>
        <w:numPr>
          <w:ilvl w:val="0"/>
          <w:numId w:val="3"/>
        </w:numPr>
        <w:rPr>
          <w:rStyle w:val="Voimakas"/>
          <w:rFonts w:asciiTheme="minorHAnsi" w:hAnsiTheme="minorHAnsi" w:cstheme="minorHAnsi"/>
          <w:b w:val="0"/>
          <w:bCs w:val="0"/>
        </w:rPr>
      </w:pPr>
      <w:r w:rsidRPr="00D35692">
        <w:rPr>
          <w:rStyle w:val="Voimakas"/>
          <w:rFonts w:asciiTheme="minorHAnsi" w:hAnsiTheme="minorHAnsi" w:cstheme="minorHAnsi"/>
          <w:b w:val="0"/>
          <w:bCs w:val="0"/>
        </w:rPr>
        <w:t>Lakisääteisten peruspalveluiden laatu on turvattava seuraavalla valtuustokaudella. Vaikka kuntatalous on vakavassa kriisissä, jokaisen kunnan on päätöksenteossaan huolehdittava siitä, että tulevaisuudesta ei leikata vaan siihen satsataan.</w:t>
      </w:r>
    </w:p>
    <w:p w:rsidR="00B0273A" w:rsidRPr="00D35692" w:rsidRDefault="00B0273A" w:rsidP="00D35692">
      <w:pPr>
        <w:pStyle w:val="NormaaliWWW"/>
        <w:numPr>
          <w:ilvl w:val="0"/>
          <w:numId w:val="3"/>
        </w:numPr>
        <w:rPr>
          <w:rFonts w:asciiTheme="minorHAnsi" w:hAnsiTheme="minorHAnsi" w:cstheme="minorHAnsi"/>
        </w:rPr>
      </w:pPr>
      <w:r w:rsidRPr="00D35692">
        <w:rPr>
          <w:rFonts w:asciiTheme="minorHAnsi" w:hAnsiTheme="minorHAnsi" w:cstheme="minorHAnsi"/>
        </w:rPr>
        <w:t>Koulutukseen sijoittaminen tuottaa pitkällä aikavälillä säästöjä kunnan muilla toimialoilla. </w:t>
      </w:r>
    </w:p>
    <w:p w:rsidR="00B0273A" w:rsidRPr="00D35692" w:rsidRDefault="00B0273A" w:rsidP="00D35692">
      <w:pPr>
        <w:pStyle w:val="NormaaliWWW"/>
        <w:numPr>
          <w:ilvl w:val="0"/>
          <w:numId w:val="3"/>
        </w:numPr>
        <w:rPr>
          <w:rFonts w:asciiTheme="minorHAnsi" w:hAnsiTheme="minorHAnsi" w:cstheme="minorHAnsi"/>
        </w:rPr>
      </w:pPr>
      <w:r w:rsidRPr="00D35692">
        <w:rPr>
          <w:rFonts w:asciiTheme="minorHAnsi" w:hAnsiTheme="minorHAnsi" w:cstheme="minorHAnsi"/>
        </w:rPr>
        <w:t>Hyvä kuntapäättäjä ei yritä tasapainottaa taloutta lomauttamalla opettajia. Lomautus ei ole missään kunnassa tuottanut tavoiteltuja menosäästöjä. Sen sijaan se aiheuttaa pysyvää haittaa paitsi oppimiselle, myös kunnan maineelle ja uskottavuudelle laadukkaan koulutuksen järjestäjänä.   </w:t>
      </w:r>
    </w:p>
    <w:p w:rsidR="00B0273A" w:rsidRPr="00D35692" w:rsidRDefault="00B0273A" w:rsidP="00D35692">
      <w:pPr>
        <w:pStyle w:val="NormaaliWWW"/>
        <w:numPr>
          <w:ilvl w:val="0"/>
          <w:numId w:val="3"/>
        </w:numPr>
        <w:rPr>
          <w:rFonts w:asciiTheme="minorHAnsi" w:hAnsiTheme="minorHAnsi" w:cstheme="minorHAnsi"/>
        </w:rPr>
      </w:pPr>
      <w:r w:rsidRPr="00D35692">
        <w:rPr>
          <w:rFonts w:asciiTheme="minorHAnsi" w:hAnsiTheme="minorHAnsi" w:cstheme="minorHAnsi"/>
        </w:rPr>
        <w:t xml:space="preserve">Kunnan investointiohjelmassa päiväkotien, koulujen ja oppilaitosten on oltava tärkeyslistan kärjessä. </w:t>
      </w:r>
      <w:r w:rsidR="003A10EF" w:rsidRPr="00D35692">
        <w:rPr>
          <w:rFonts w:asciiTheme="minorHAnsi" w:hAnsiTheme="minorHAnsi" w:cstheme="minorHAnsi"/>
        </w:rPr>
        <w:t>Koulut</w:t>
      </w:r>
      <w:r w:rsidRPr="00D35692">
        <w:rPr>
          <w:rFonts w:asciiTheme="minorHAnsi" w:hAnsiTheme="minorHAnsi" w:cstheme="minorHAnsi"/>
        </w:rPr>
        <w:t xml:space="preserve"> ja päiväkodit on pidettävä hyvässä kunnossa, etteivät oppiminen, opiskelu ja hyvinvointi vaarannu.   </w:t>
      </w:r>
    </w:p>
    <w:p w:rsidR="00B0273A" w:rsidRPr="00D35692" w:rsidRDefault="00B0273A" w:rsidP="00D35692">
      <w:pPr>
        <w:pStyle w:val="NormaaliWWW"/>
        <w:numPr>
          <w:ilvl w:val="0"/>
          <w:numId w:val="3"/>
        </w:numPr>
        <w:rPr>
          <w:rFonts w:asciiTheme="minorHAnsi" w:hAnsiTheme="minorHAnsi" w:cstheme="minorHAnsi"/>
        </w:rPr>
      </w:pPr>
      <w:r w:rsidRPr="00D35692">
        <w:rPr>
          <w:rFonts w:asciiTheme="minorHAnsi" w:hAnsiTheme="minorHAnsi" w:cstheme="minorHAnsi"/>
        </w:rPr>
        <w:t xml:space="preserve">Etäopetusta voi käyttää opetustarjonnan laajentamiseksi, mutta sitä ei pidä käyttää </w:t>
      </w:r>
      <w:r w:rsidR="003A10EF" w:rsidRPr="00D35692">
        <w:rPr>
          <w:rFonts w:asciiTheme="minorHAnsi" w:hAnsiTheme="minorHAnsi" w:cstheme="minorHAnsi"/>
        </w:rPr>
        <w:t>säästökeinona</w:t>
      </w:r>
      <w:r w:rsidRPr="00D35692">
        <w:rPr>
          <w:rFonts w:asciiTheme="minorHAnsi" w:hAnsiTheme="minorHAnsi" w:cstheme="minorHAnsi"/>
        </w:rPr>
        <w:t xml:space="preserve"> niin, että opetuksen laatu heikkenee. </w:t>
      </w:r>
    </w:p>
    <w:p w:rsidR="00721496" w:rsidRDefault="00474E42" w:rsidP="003A10EF">
      <w:pPr>
        <w:pStyle w:val="Luettelokappale"/>
        <w:numPr>
          <w:ilvl w:val="0"/>
          <w:numId w:val="1"/>
        </w:numPr>
        <w:rPr>
          <w:sz w:val="28"/>
          <w:szCs w:val="28"/>
        </w:rPr>
      </w:pPr>
      <w:hyperlink r:id="rId7" w:anchor="menestyva-kunta-tekee-yhteistyota" w:history="1">
        <w:r w:rsidR="00721496" w:rsidRPr="00D35692">
          <w:rPr>
            <w:rStyle w:val="Hyperlinkki"/>
            <w:sz w:val="28"/>
            <w:szCs w:val="28"/>
            <w:u w:val="none"/>
          </w:rPr>
          <w:t>Menestyvä kunta tekee yhteistyötä</w:t>
        </w:r>
      </w:hyperlink>
    </w:p>
    <w:p w:rsidR="00D35692" w:rsidRPr="00D35692" w:rsidRDefault="00D35692" w:rsidP="00D35692">
      <w:pPr>
        <w:pStyle w:val="Luettelokappale"/>
        <w:rPr>
          <w:sz w:val="28"/>
          <w:szCs w:val="28"/>
        </w:rPr>
      </w:pPr>
    </w:p>
    <w:p w:rsidR="006107BA" w:rsidRPr="00D35692" w:rsidRDefault="006107BA" w:rsidP="00D35692">
      <w:pPr>
        <w:pStyle w:val="Luettelokappale"/>
        <w:numPr>
          <w:ilvl w:val="0"/>
          <w:numId w:val="4"/>
        </w:numPr>
        <w:rPr>
          <w:sz w:val="24"/>
          <w:szCs w:val="24"/>
        </w:rPr>
      </w:pPr>
      <w:r w:rsidRPr="00D35692">
        <w:rPr>
          <w:sz w:val="24"/>
          <w:szCs w:val="24"/>
        </w:rPr>
        <w:t>Työnantajan ja työntekijöiden välisen rakentavan vuoropuhelun avulla kunta menestyy.</w:t>
      </w:r>
    </w:p>
    <w:p w:rsidR="006107BA" w:rsidRPr="00D35692" w:rsidRDefault="006107BA" w:rsidP="00D35692">
      <w:pPr>
        <w:pStyle w:val="Luettelokappale"/>
        <w:numPr>
          <w:ilvl w:val="0"/>
          <w:numId w:val="4"/>
        </w:numPr>
        <w:rPr>
          <w:sz w:val="24"/>
          <w:szCs w:val="24"/>
        </w:rPr>
      </w:pPr>
      <w:r w:rsidRPr="00D35692">
        <w:rPr>
          <w:sz w:val="24"/>
          <w:szCs w:val="24"/>
        </w:rPr>
        <w:t>Menestyvä kunta rakentaa kestävää tulevaisuutta hyödyntämällä osaamisen ammattilaisia ja ottamalla huomioon ympäristön muutokset.</w:t>
      </w:r>
    </w:p>
    <w:p w:rsidR="006107BA" w:rsidRDefault="003A10EF" w:rsidP="00D35692">
      <w:pPr>
        <w:pStyle w:val="Luettelokappale"/>
        <w:numPr>
          <w:ilvl w:val="0"/>
          <w:numId w:val="4"/>
        </w:numPr>
        <w:rPr>
          <w:sz w:val="24"/>
          <w:szCs w:val="24"/>
        </w:rPr>
      </w:pPr>
      <w:r w:rsidRPr="00D35692">
        <w:rPr>
          <w:sz w:val="24"/>
          <w:szCs w:val="24"/>
        </w:rPr>
        <w:lastRenderedPageBreak/>
        <w:t>Y</w:t>
      </w:r>
      <w:r w:rsidR="006107BA" w:rsidRPr="00D35692">
        <w:rPr>
          <w:sz w:val="24"/>
          <w:szCs w:val="24"/>
        </w:rPr>
        <w:t>hteistyö kuntapäättäjien ja opetushenkilöstön välillä tuo kasvatuksen ja koulutuksen kehittämiseen paikallisten erityispiirteiden ymmärrystä. Tämä parantaa päätöksenteon luotettavuutta ja tuloksia kuntalaisten hyväksi.</w:t>
      </w:r>
    </w:p>
    <w:p w:rsidR="00D35692" w:rsidRPr="00D35692" w:rsidRDefault="00D35692" w:rsidP="00D35692">
      <w:pPr>
        <w:pStyle w:val="Luettelokappale"/>
        <w:rPr>
          <w:sz w:val="24"/>
          <w:szCs w:val="24"/>
        </w:rPr>
      </w:pPr>
    </w:p>
    <w:p w:rsidR="00721496" w:rsidRDefault="00474E42" w:rsidP="003A10EF">
      <w:pPr>
        <w:pStyle w:val="Luettelokappale"/>
        <w:numPr>
          <w:ilvl w:val="0"/>
          <w:numId w:val="1"/>
        </w:numPr>
        <w:rPr>
          <w:sz w:val="28"/>
          <w:szCs w:val="28"/>
        </w:rPr>
      </w:pPr>
      <w:hyperlink r:id="rId8" w:anchor="osallistuminen-yhteisoon-luo-hyvinvointia" w:history="1">
        <w:r w:rsidR="00721496" w:rsidRPr="00D35692">
          <w:rPr>
            <w:rStyle w:val="Hyperlinkki"/>
            <w:sz w:val="28"/>
            <w:szCs w:val="28"/>
            <w:u w:val="none"/>
          </w:rPr>
          <w:t>Osallistuminen yhteisöön luo hyvinvointia</w:t>
        </w:r>
      </w:hyperlink>
    </w:p>
    <w:p w:rsidR="00D35692" w:rsidRPr="00D35692" w:rsidRDefault="00D35692" w:rsidP="00D35692">
      <w:pPr>
        <w:pStyle w:val="Luettelokappale"/>
        <w:rPr>
          <w:sz w:val="28"/>
          <w:szCs w:val="28"/>
        </w:rPr>
      </w:pPr>
    </w:p>
    <w:p w:rsidR="006107BA" w:rsidRPr="00D35692" w:rsidRDefault="006107BA" w:rsidP="00D35692">
      <w:pPr>
        <w:pStyle w:val="Luettelokappale"/>
        <w:numPr>
          <w:ilvl w:val="0"/>
          <w:numId w:val="5"/>
        </w:numPr>
        <w:rPr>
          <w:sz w:val="24"/>
          <w:szCs w:val="24"/>
        </w:rPr>
      </w:pPr>
      <w:r w:rsidRPr="00D35692">
        <w:rPr>
          <w:sz w:val="24"/>
          <w:szCs w:val="24"/>
        </w:rPr>
        <w:t>Päiväkodeissa</w:t>
      </w:r>
      <w:r w:rsidR="003A10EF" w:rsidRPr="00D35692">
        <w:rPr>
          <w:sz w:val="24"/>
          <w:szCs w:val="24"/>
        </w:rPr>
        <w:t xml:space="preserve">, </w:t>
      </w:r>
      <w:r w:rsidRPr="00D35692">
        <w:rPr>
          <w:sz w:val="24"/>
          <w:szCs w:val="24"/>
        </w:rPr>
        <w:t>kouluissa ja oppilaitoksissa edistetään joka päivä kuntalaisten osallistumista ja osallisuutta. Se vähentää syrjäytymistä ja vahvistaa tunnetta yhteisöön kuulumisesta. Jokainen päivä opetusta on tärkeä</w:t>
      </w:r>
      <w:r w:rsidR="003A10EF" w:rsidRPr="00D35692">
        <w:rPr>
          <w:sz w:val="24"/>
          <w:szCs w:val="24"/>
        </w:rPr>
        <w:t>!</w:t>
      </w:r>
    </w:p>
    <w:p w:rsidR="006107BA" w:rsidRPr="00D35692" w:rsidRDefault="006107BA" w:rsidP="00D35692">
      <w:pPr>
        <w:pStyle w:val="Luettelokappale"/>
        <w:numPr>
          <w:ilvl w:val="0"/>
          <w:numId w:val="5"/>
        </w:numPr>
        <w:rPr>
          <w:sz w:val="24"/>
          <w:szCs w:val="24"/>
        </w:rPr>
      </w:pPr>
      <w:r w:rsidRPr="00D35692">
        <w:rPr>
          <w:sz w:val="24"/>
          <w:szCs w:val="24"/>
        </w:rPr>
        <w:t>Osallisuutta parannetaan nostamalla lasten osallistumisastetta varhaiskasvatukseen. Kunnan tehtävä on kutsua perheitä käyttämään varhaiskasvatuspalveluja. Tukemalla lasten kotihoitoa ei saa heikentää kolme vuotta täyttäneiden lasten osallistumista pedagogiseen varhaiskasvatukseen.</w:t>
      </w:r>
    </w:p>
    <w:p w:rsidR="006107BA" w:rsidRPr="00D35692" w:rsidRDefault="006107BA" w:rsidP="00D35692">
      <w:pPr>
        <w:pStyle w:val="Luettelokappale"/>
        <w:numPr>
          <w:ilvl w:val="0"/>
          <w:numId w:val="5"/>
        </w:numPr>
        <w:rPr>
          <w:sz w:val="24"/>
          <w:szCs w:val="24"/>
        </w:rPr>
      </w:pPr>
      <w:r w:rsidRPr="00D35692">
        <w:rPr>
          <w:sz w:val="24"/>
          <w:szCs w:val="24"/>
        </w:rPr>
        <w:t>Kun kunta tarjoaa monipuolisia vapaan sivistystyön opintoja, kaikilla kunnan asukkailla on mahdollisuus oppimiseen ja itsensä kehittämisen ikään ja taustaan katsomatta.</w:t>
      </w:r>
    </w:p>
    <w:p w:rsidR="006107BA" w:rsidRDefault="006107BA" w:rsidP="00D35692">
      <w:pPr>
        <w:pStyle w:val="Luettelokappale"/>
        <w:numPr>
          <w:ilvl w:val="0"/>
          <w:numId w:val="5"/>
        </w:numPr>
        <w:rPr>
          <w:sz w:val="24"/>
          <w:szCs w:val="24"/>
        </w:rPr>
      </w:pPr>
      <w:r w:rsidRPr="00D35692">
        <w:rPr>
          <w:sz w:val="24"/>
          <w:szCs w:val="24"/>
        </w:rPr>
        <w:t>Viisas kunta edistää asukkaidensa kotoutumista. Eri kieli- ja kulttuuritaustaisille oppijoille on tarjottava perusopetukseen valmistavaa opetusta sekä tarvittaessa ammatilliseen ja lukiokoulutukseen valmistavaa opetusta. Perheitä on kannustettava siihen, että lapset osallistuvat varhaiskasvatukseen.</w:t>
      </w:r>
    </w:p>
    <w:p w:rsidR="00D35692" w:rsidRPr="00D35692" w:rsidRDefault="00D35692" w:rsidP="00D35692">
      <w:pPr>
        <w:pStyle w:val="Luettelokappale"/>
        <w:rPr>
          <w:sz w:val="24"/>
          <w:szCs w:val="24"/>
        </w:rPr>
      </w:pPr>
    </w:p>
    <w:p w:rsidR="00721496" w:rsidRDefault="00474E42" w:rsidP="003A10EF">
      <w:pPr>
        <w:pStyle w:val="Luettelokappale"/>
        <w:numPr>
          <w:ilvl w:val="0"/>
          <w:numId w:val="1"/>
        </w:numPr>
        <w:rPr>
          <w:sz w:val="28"/>
          <w:szCs w:val="28"/>
        </w:rPr>
      </w:pPr>
      <w:hyperlink r:id="rId9" w:anchor="kunnan-elinvoima-luodaan-kasvatuksella-koulutuksella-ja-tutkimuksella" w:history="1">
        <w:r w:rsidR="00721496" w:rsidRPr="00D35692">
          <w:rPr>
            <w:rStyle w:val="Hyperlinkki"/>
            <w:sz w:val="28"/>
            <w:szCs w:val="28"/>
            <w:u w:val="none"/>
          </w:rPr>
          <w:t>Kunnan elinvoima luodaan kasvatuksella, koulutuksella ja tutkimuksella</w:t>
        </w:r>
      </w:hyperlink>
    </w:p>
    <w:p w:rsidR="00D35692" w:rsidRPr="00D35692" w:rsidRDefault="00D35692" w:rsidP="00D35692">
      <w:pPr>
        <w:pStyle w:val="Luettelokappale"/>
        <w:rPr>
          <w:sz w:val="28"/>
          <w:szCs w:val="28"/>
        </w:rPr>
      </w:pPr>
    </w:p>
    <w:p w:rsidR="00E20199" w:rsidRPr="00D35692" w:rsidRDefault="00E20199" w:rsidP="00D35692">
      <w:pPr>
        <w:pStyle w:val="Luettelokappale"/>
        <w:numPr>
          <w:ilvl w:val="0"/>
          <w:numId w:val="6"/>
        </w:numPr>
        <w:rPr>
          <w:sz w:val="24"/>
          <w:szCs w:val="24"/>
        </w:rPr>
      </w:pPr>
      <w:r w:rsidRPr="00D35692">
        <w:rPr>
          <w:sz w:val="24"/>
          <w:szCs w:val="24"/>
        </w:rPr>
        <w:t>Laadukas varhaiskasvatus ja perusopetus vetävät puoleensa lapsiperheitä, jotka ovat edellytys sille, että kunta säilyy elinvoimaisena.</w:t>
      </w:r>
    </w:p>
    <w:p w:rsidR="006107BA" w:rsidRPr="00D35692" w:rsidRDefault="006107BA" w:rsidP="00D35692">
      <w:pPr>
        <w:pStyle w:val="Luettelokappale"/>
        <w:numPr>
          <w:ilvl w:val="0"/>
          <w:numId w:val="6"/>
        </w:numPr>
        <w:rPr>
          <w:sz w:val="24"/>
          <w:szCs w:val="24"/>
        </w:rPr>
      </w:pPr>
      <w:r w:rsidRPr="00D35692">
        <w:rPr>
          <w:sz w:val="24"/>
          <w:szCs w:val="24"/>
        </w:rPr>
        <w:t>Valtuuston pitää seurata Kuopion koulutus</w:t>
      </w:r>
      <w:r w:rsidR="00E20199" w:rsidRPr="00D35692">
        <w:rPr>
          <w:sz w:val="24"/>
          <w:szCs w:val="24"/>
        </w:rPr>
        <w:t>poliittisen</w:t>
      </w:r>
      <w:r w:rsidRPr="00D35692">
        <w:rPr>
          <w:sz w:val="24"/>
          <w:szCs w:val="24"/>
        </w:rPr>
        <w:t>ohjelman toteutumista</w:t>
      </w:r>
      <w:r w:rsidR="00E20199" w:rsidRPr="00D35692">
        <w:rPr>
          <w:sz w:val="24"/>
          <w:szCs w:val="24"/>
        </w:rPr>
        <w:t xml:space="preserve">, </w:t>
      </w:r>
      <w:r w:rsidRPr="00D35692">
        <w:rPr>
          <w:sz w:val="24"/>
          <w:szCs w:val="24"/>
        </w:rPr>
        <w:t>ja huolehtia siitä, että kunnan kasvatus- ja koulutuspalvelut pysyvät laadukkaina.</w:t>
      </w:r>
      <w:r w:rsidR="00E20199" w:rsidRPr="00D35692">
        <w:rPr>
          <w:sz w:val="24"/>
          <w:szCs w:val="24"/>
        </w:rPr>
        <w:t xml:space="preserve"> Tärkeinä pidetyt tavoitteet vaativat myös satsauksia kunnan budjettiin.</w:t>
      </w:r>
    </w:p>
    <w:p w:rsidR="00E20199" w:rsidRDefault="00E20199"/>
    <w:p w:rsidR="00E20199" w:rsidRPr="00721496" w:rsidRDefault="00E20199"/>
    <w:sectPr w:rsidR="00E20199" w:rsidRPr="007214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7D9F"/>
    <w:multiLevelType w:val="hybridMultilevel"/>
    <w:tmpl w:val="42900A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5CE5B5C"/>
    <w:multiLevelType w:val="hybridMultilevel"/>
    <w:tmpl w:val="3E2A2A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A3A72EB"/>
    <w:multiLevelType w:val="hybridMultilevel"/>
    <w:tmpl w:val="A55C57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4270AAA"/>
    <w:multiLevelType w:val="hybridMultilevel"/>
    <w:tmpl w:val="7E90FF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F8B0506"/>
    <w:multiLevelType w:val="hybridMultilevel"/>
    <w:tmpl w:val="ED928E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CC3210B"/>
    <w:multiLevelType w:val="hybridMultilevel"/>
    <w:tmpl w:val="C2E6A5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96"/>
    <w:rsid w:val="003A10EF"/>
    <w:rsid w:val="00474E42"/>
    <w:rsid w:val="006107BA"/>
    <w:rsid w:val="00721496"/>
    <w:rsid w:val="00B0273A"/>
    <w:rsid w:val="00D35692"/>
    <w:rsid w:val="00E201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2B04F-BA65-418B-B79A-FB229F3A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721496"/>
    <w:rPr>
      <w:color w:val="0000FF"/>
      <w:u w:val="single"/>
    </w:rPr>
  </w:style>
  <w:style w:type="paragraph" w:styleId="NormaaliWWW">
    <w:name w:val="Normal (Web)"/>
    <w:basedOn w:val="Normaali"/>
    <w:uiPriority w:val="99"/>
    <w:semiHidden/>
    <w:unhideWhenUsed/>
    <w:rsid w:val="00B0273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B0273A"/>
    <w:rPr>
      <w:b/>
      <w:bCs/>
    </w:rPr>
  </w:style>
  <w:style w:type="paragraph" w:styleId="Luettelokappale">
    <w:name w:val="List Paragraph"/>
    <w:basedOn w:val="Normaali"/>
    <w:uiPriority w:val="34"/>
    <w:qFormat/>
    <w:rsid w:val="00E2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j.fi/politiikassa/kuntavaalit-2021/" TargetMode="External"/><Relationship Id="rId3" Type="http://schemas.openxmlformats.org/officeDocument/2006/relationships/settings" Target="settings.xml"/><Relationship Id="rId7" Type="http://schemas.openxmlformats.org/officeDocument/2006/relationships/hyperlink" Target="https://www.oaj.fi/politiikassa/kuntavaalit-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j.fi/politiikassa/kuntavaalit-2021/" TargetMode="External"/><Relationship Id="rId11" Type="http://schemas.openxmlformats.org/officeDocument/2006/relationships/theme" Target="theme/theme1.xml"/><Relationship Id="rId5" Type="http://schemas.openxmlformats.org/officeDocument/2006/relationships/hyperlink" Target="https://www.oaj.fi/politiikassa/kuntavaalit-20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aj.fi/politiikassa/kuntavaalit-202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4265</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Tiina Tuulikki</dc:creator>
  <cp:keywords/>
  <dc:description/>
  <cp:lastModifiedBy>Parviainen Minna Mari Helena</cp:lastModifiedBy>
  <cp:revision>2</cp:revision>
  <dcterms:created xsi:type="dcterms:W3CDTF">2021-03-02T14:24:00Z</dcterms:created>
  <dcterms:modified xsi:type="dcterms:W3CDTF">2021-03-02T14:24:00Z</dcterms:modified>
</cp:coreProperties>
</file>